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92" w:rsidRPr="007A7641" w:rsidRDefault="00736C3B" w:rsidP="005052E8">
      <w:pPr>
        <w:pBdr>
          <w:top w:val="single" w:sz="18" w:space="1" w:color="00A249"/>
          <w:bottom w:val="single" w:sz="18" w:space="1" w:color="00A249"/>
        </w:pBdr>
        <w:jc w:val="center"/>
        <w:rPr>
          <w:b/>
          <w:sz w:val="28"/>
          <w:szCs w:val="28"/>
        </w:rPr>
      </w:pPr>
      <w:r w:rsidRPr="007A7641">
        <w:rPr>
          <w:b/>
          <w:sz w:val="28"/>
          <w:szCs w:val="28"/>
        </w:rPr>
        <w:t xml:space="preserve">PROTOCOLLO </w:t>
      </w:r>
      <w:r w:rsidR="005052E8">
        <w:rPr>
          <w:b/>
          <w:sz w:val="28"/>
          <w:szCs w:val="28"/>
        </w:rPr>
        <w:t xml:space="preserve">E LINEE GUIDA PER LA REALIZZAZIONE </w:t>
      </w:r>
      <w:proofErr w:type="spellStart"/>
      <w:r w:rsidR="005052E8">
        <w:rPr>
          <w:b/>
          <w:sz w:val="28"/>
          <w:szCs w:val="28"/>
        </w:rPr>
        <w:t>DI</w:t>
      </w:r>
      <w:proofErr w:type="spellEnd"/>
      <w:r w:rsidR="005052E8">
        <w:rPr>
          <w:b/>
          <w:sz w:val="28"/>
          <w:szCs w:val="28"/>
        </w:rPr>
        <w:t xml:space="preserve"> PROVE TEMPI </w:t>
      </w:r>
    </w:p>
    <w:p w:rsidR="00736C3B" w:rsidRDefault="00292EB9" w:rsidP="00007B46">
      <w:pPr>
        <w:spacing w:line="360" w:lineRule="auto"/>
        <w:jc w:val="both"/>
      </w:pPr>
      <w:r>
        <w:t xml:space="preserve">I tempi realizzati nelle prestazioni di nuoto e corsa per essere ritenuti validi per il sistema PSN devono seguire </w:t>
      </w:r>
      <w:r w:rsidR="00736C3B">
        <w:t xml:space="preserve"> i criteri riportati di seguito. </w:t>
      </w:r>
    </w:p>
    <w:p w:rsidR="00736C3B" w:rsidRPr="00191A92" w:rsidRDefault="00736C3B" w:rsidP="00007B46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</w:rPr>
      </w:pPr>
      <w:r w:rsidRPr="00191A92">
        <w:rPr>
          <w:b/>
        </w:rPr>
        <w:t>Sedi di svolgimento delle prestazione di corsa</w:t>
      </w:r>
    </w:p>
    <w:p w:rsidR="00AC12EB" w:rsidRDefault="00AC12EB" w:rsidP="00007B46">
      <w:pPr>
        <w:pStyle w:val="Paragrafoelenco"/>
        <w:spacing w:before="360" w:line="360" w:lineRule="auto"/>
        <w:jc w:val="both"/>
      </w:pPr>
      <w:r>
        <w:t xml:space="preserve">Sono </w:t>
      </w:r>
      <w:r w:rsidRPr="005D4196">
        <w:t>ritenut</w:t>
      </w:r>
      <w:r>
        <w:t xml:space="preserve">e valide le prestazioni di corsa realizzate </w:t>
      </w:r>
      <w:r w:rsidRPr="005D4196">
        <w:t>in pista da 400m</w:t>
      </w:r>
      <w:r>
        <w:t xml:space="preserve"> omologata per gare </w:t>
      </w:r>
      <w:proofErr w:type="spellStart"/>
      <w:r>
        <w:t>Fidal</w:t>
      </w:r>
      <w:proofErr w:type="spellEnd"/>
      <w:r>
        <w:t>.</w:t>
      </w:r>
    </w:p>
    <w:p w:rsidR="00736C3B" w:rsidRPr="00191A92" w:rsidRDefault="00736C3B" w:rsidP="00007B46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</w:rPr>
      </w:pPr>
      <w:r w:rsidRPr="00191A92">
        <w:rPr>
          <w:b/>
        </w:rPr>
        <w:t>Sedi di svolgimento delle prestazione di nuoto</w:t>
      </w:r>
    </w:p>
    <w:p w:rsidR="00F221DE" w:rsidRDefault="00F221DE" w:rsidP="00007B46">
      <w:pPr>
        <w:pStyle w:val="Paragrafoelenco"/>
        <w:spacing w:line="360" w:lineRule="auto"/>
        <w:jc w:val="both"/>
      </w:pPr>
      <w:r>
        <w:t xml:space="preserve">Sono </w:t>
      </w:r>
      <w:r w:rsidRPr="005D4196">
        <w:t>ritenut</w:t>
      </w:r>
      <w:r>
        <w:t>e valide le prestazioni di nuoto realizzate in vasca da 25</w:t>
      </w:r>
      <w:r w:rsidR="00E52A29">
        <w:t>m</w:t>
      </w:r>
      <w:r>
        <w:t xml:space="preserve"> o 50m  omologata per gare FIN.</w:t>
      </w:r>
    </w:p>
    <w:p w:rsidR="00F221DE" w:rsidRPr="00191A92" w:rsidRDefault="00F221DE" w:rsidP="00007B46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</w:rPr>
      </w:pPr>
      <w:r w:rsidRPr="00191A92">
        <w:rPr>
          <w:b/>
        </w:rPr>
        <w:t>Scelta delle distanze</w:t>
      </w:r>
    </w:p>
    <w:p w:rsidR="00F221DE" w:rsidRDefault="00F221DE" w:rsidP="00007B46">
      <w:pPr>
        <w:pStyle w:val="Paragrafoelenco"/>
        <w:spacing w:before="360" w:line="360" w:lineRule="auto"/>
        <w:jc w:val="both"/>
      </w:pPr>
      <w:r>
        <w:t xml:space="preserve">Gli atleti possono realizzare la prova su una qualsiasi delle distanze ammesse. Tuttavia i criteri di assegnazione dei punteggi sono realizzati in modo da far risultare decisamente conveniente la distanza più corta tra quelle possibili. Le prove tempi </w:t>
      </w:r>
      <w:r w:rsidR="005522B8">
        <w:t>possono essere</w:t>
      </w:r>
      <w:r>
        <w:t xml:space="preserve"> </w:t>
      </w:r>
      <w:r w:rsidR="00BE186B">
        <w:t xml:space="preserve">quindi </w:t>
      </w:r>
      <w:r>
        <w:t>organizzate sulle distanze più corte ammesse per o</w:t>
      </w:r>
      <w:r w:rsidR="005522B8">
        <w:t>gni categoria nel rispetto delle</w:t>
      </w:r>
      <w:r>
        <w:t xml:space="preserve"> normativa del bando di concorso. Qualora un atleta volesse comunque provare una distanza maggiore </w:t>
      </w:r>
      <w:r w:rsidR="00E52A29">
        <w:t xml:space="preserve">a quella più breve permessa dal bando </w:t>
      </w:r>
      <w:r>
        <w:t xml:space="preserve">deve comunicarlo preventivamente al </w:t>
      </w:r>
      <w:r w:rsidR="00BE186B">
        <w:t xml:space="preserve">responsabile SAS o SAS Giovani nei giorni precedenti a quello di realizzazione delle prove. </w:t>
      </w:r>
    </w:p>
    <w:p w:rsidR="00736C3B" w:rsidRPr="00191A92" w:rsidRDefault="00736C3B" w:rsidP="00007B46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</w:rPr>
      </w:pPr>
      <w:r w:rsidRPr="00191A92">
        <w:rPr>
          <w:b/>
        </w:rPr>
        <w:t>Modalità di svolgimento delle prove di nuoto e corsa in un solo giorno</w:t>
      </w:r>
    </w:p>
    <w:p w:rsidR="00F221DE" w:rsidRDefault="00AC12EB" w:rsidP="00007B46">
      <w:pPr>
        <w:pStyle w:val="Paragrafoelenco"/>
        <w:spacing w:before="360" w:line="360" w:lineRule="auto"/>
        <w:jc w:val="both"/>
      </w:pPr>
      <w:r>
        <w:t xml:space="preserve">Le prove di nuoto e corsa possono essere svolte in un solo giorno con libertà di scelta dell’ordine delle prove e dei tempi di recupero tra le prove. </w:t>
      </w:r>
      <w:r w:rsidR="00CC1207">
        <w:t>Si consiglia di prevedere almeno un ora tra le due prove.</w:t>
      </w:r>
    </w:p>
    <w:p w:rsidR="00736C3B" w:rsidRPr="00191A92" w:rsidRDefault="00736C3B" w:rsidP="00007B46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</w:rPr>
      </w:pPr>
      <w:r w:rsidRPr="00191A92">
        <w:rPr>
          <w:b/>
        </w:rPr>
        <w:t xml:space="preserve">Criteri di conversione per i tempi realizzati in vasca da 50m </w:t>
      </w:r>
    </w:p>
    <w:p w:rsidR="00F221DE" w:rsidRDefault="00F221DE" w:rsidP="00007B46">
      <w:pPr>
        <w:pStyle w:val="Paragrafoelenco"/>
        <w:spacing w:before="360" w:line="360" w:lineRule="auto"/>
        <w:jc w:val="both"/>
      </w:pPr>
      <w:r>
        <w:t>Se le prove di nuoto sono realizzate in vasca da 50m verranno applicati per il calcolo dei punteggi i criteri di conversione mostrati in tabella.</w:t>
      </w:r>
    </w:p>
    <w:tbl>
      <w:tblPr>
        <w:tblW w:w="51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8"/>
        <w:gridCol w:w="1942"/>
        <w:gridCol w:w="1916"/>
      </w:tblGrid>
      <w:tr w:rsidR="00373DFE" w:rsidRPr="00BB2D97" w:rsidTr="007A7641">
        <w:trPr>
          <w:trHeight w:val="360"/>
          <w:jc w:val="center"/>
        </w:trPr>
        <w:tc>
          <w:tcPr>
            <w:tcW w:w="5166" w:type="dxa"/>
            <w:gridSpan w:val="3"/>
            <w:vMerge w:val="restart"/>
            <w:vAlign w:val="center"/>
          </w:tcPr>
          <w:p w:rsidR="00373DFE" w:rsidRPr="005D4196" w:rsidRDefault="00373DFE" w:rsidP="00007B4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5D419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Tempi di conversione 25/50m da aggiungere alla prestazione realizzata in vasca da 25m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per ottenere quella relativa alla vasca da 50m</w:t>
            </w:r>
            <w:r w:rsidR="007A7641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="007A7641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min.sec</w:t>
            </w:r>
            <w:proofErr w:type="spellEnd"/>
            <w:r w:rsidR="007A7641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,decimi)</w:t>
            </w:r>
          </w:p>
        </w:tc>
      </w:tr>
      <w:tr w:rsidR="00373DFE" w:rsidRPr="00BB2D97" w:rsidTr="007A7641">
        <w:trPr>
          <w:trHeight w:val="470"/>
          <w:jc w:val="center"/>
        </w:trPr>
        <w:tc>
          <w:tcPr>
            <w:tcW w:w="5166" w:type="dxa"/>
            <w:gridSpan w:val="3"/>
            <w:vMerge/>
            <w:vAlign w:val="center"/>
          </w:tcPr>
          <w:p w:rsidR="00373DFE" w:rsidRPr="005D4196" w:rsidRDefault="00373DFE" w:rsidP="00007B4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373DFE" w:rsidRPr="00BB2D97" w:rsidTr="007A7641">
        <w:trPr>
          <w:trHeight w:val="314"/>
          <w:jc w:val="center"/>
        </w:trPr>
        <w:tc>
          <w:tcPr>
            <w:tcW w:w="1308" w:type="dxa"/>
            <w:noWrap/>
            <w:vAlign w:val="center"/>
          </w:tcPr>
          <w:p w:rsidR="00373DFE" w:rsidRPr="005D4196" w:rsidRDefault="00373DFE" w:rsidP="00007B4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42" w:type="dxa"/>
            <w:noWrap/>
            <w:vAlign w:val="center"/>
          </w:tcPr>
          <w:p w:rsidR="00373DFE" w:rsidRPr="005D4196" w:rsidRDefault="00373DFE" w:rsidP="00007B4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5D419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Uomini</w:t>
            </w:r>
          </w:p>
        </w:tc>
        <w:tc>
          <w:tcPr>
            <w:tcW w:w="1916" w:type="dxa"/>
            <w:noWrap/>
            <w:vAlign w:val="center"/>
          </w:tcPr>
          <w:p w:rsidR="00373DFE" w:rsidRPr="005D4196" w:rsidRDefault="00373DFE" w:rsidP="00007B4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5D419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Donne</w:t>
            </w:r>
          </w:p>
        </w:tc>
      </w:tr>
      <w:tr w:rsidR="00373DFE" w:rsidRPr="00BB2D97" w:rsidTr="007A7641">
        <w:trPr>
          <w:trHeight w:val="314"/>
          <w:jc w:val="center"/>
        </w:trPr>
        <w:tc>
          <w:tcPr>
            <w:tcW w:w="1308" w:type="dxa"/>
            <w:noWrap/>
            <w:vAlign w:val="center"/>
          </w:tcPr>
          <w:p w:rsidR="00373DFE" w:rsidRPr="005D4196" w:rsidRDefault="00373DFE" w:rsidP="00007B4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5D419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1942" w:type="dxa"/>
            <w:noWrap/>
            <w:vAlign w:val="center"/>
          </w:tcPr>
          <w:p w:rsidR="00373DFE" w:rsidRPr="005D4196" w:rsidRDefault="00373DFE" w:rsidP="00007B4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5D419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00.04,6</w:t>
            </w:r>
          </w:p>
        </w:tc>
        <w:tc>
          <w:tcPr>
            <w:tcW w:w="1916" w:type="dxa"/>
            <w:noWrap/>
            <w:vAlign w:val="center"/>
          </w:tcPr>
          <w:p w:rsidR="00373DFE" w:rsidRPr="005D4196" w:rsidRDefault="00373DFE" w:rsidP="00007B4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5D419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00.05,7</w:t>
            </w:r>
          </w:p>
        </w:tc>
      </w:tr>
      <w:tr w:rsidR="00373DFE" w:rsidRPr="00BB2D97" w:rsidTr="007A7641">
        <w:trPr>
          <w:trHeight w:val="314"/>
          <w:jc w:val="center"/>
        </w:trPr>
        <w:tc>
          <w:tcPr>
            <w:tcW w:w="1308" w:type="dxa"/>
            <w:noWrap/>
            <w:vAlign w:val="center"/>
          </w:tcPr>
          <w:p w:rsidR="00373DFE" w:rsidRPr="005D4196" w:rsidRDefault="00373DFE" w:rsidP="00007B4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5D419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1942" w:type="dxa"/>
            <w:noWrap/>
            <w:vAlign w:val="center"/>
          </w:tcPr>
          <w:p w:rsidR="00373DFE" w:rsidRPr="005D4196" w:rsidRDefault="00373DFE" w:rsidP="00007B4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5D419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00.10,3</w:t>
            </w:r>
          </w:p>
        </w:tc>
        <w:tc>
          <w:tcPr>
            <w:tcW w:w="1916" w:type="dxa"/>
            <w:noWrap/>
            <w:vAlign w:val="center"/>
          </w:tcPr>
          <w:p w:rsidR="00373DFE" w:rsidRPr="005D4196" w:rsidRDefault="00373DFE" w:rsidP="00007B4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5D419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00.12,0</w:t>
            </w:r>
          </w:p>
        </w:tc>
      </w:tr>
      <w:tr w:rsidR="00373DFE" w:rsidRPr="00BB2D97" w:rsidTr="007A7641">
        <w:trPr>
          <w:trHeight w:val="314"/>
          <w:jc w:val="center"/>
        </w:trPr>
        <w:tc>
          <w:tcPr>
            <w:tcW w:w="1308" w:type="dxa"/>
            <w:noWrap/>
            <w:vAlign w:val="center"/>
          </w:tcPr>
          <w:p w:rsidR="00373DFE" w:rsidRPr="005D4196" w:rsidRDefault="00373DFE" w:rsidP="00007B4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5D419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800</w:t>
            </w:r>
          </w:p>
        </w:tc>
        <w:tc>
          <w:tcPr>
            <w:tcW w:w="1942" w:type="dxa"/>
            <w:noWrap/>
            <w:vAlign w:val="center"/>
          </w:tcPr>
          <w:p w:rsidR="00373DFE" w:rsidRPr="005D4196" w:rsidRDefault="00373DFE" w:rsidP="00007B4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5D419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00.17,2</w:t>
            </w:r>
          </w:p>
        </w:tc>
        <w:tc>
          <w:tcPr>
            <w:tcW w:w="1916" w:type="dxa"/>
            <w:noWrap/>
            <w:vAlign w:val="center"/>
          </w:tcPr>
          <w:p w:rsidR="00373DFE" w:rsidRPr="005D4196" w:rsidRDefault="00373DFE" w:rsidP="00007B4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5D419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00.20,9</w:t>
            </w:r>
          </w:p>
        </w:tc>
      </w:tr>
      <w:tr w:rsidR="00373DFE" w:rsidRPr="00BB2D97" w:rsidTr="007A7641">
        <w:trPr>
          <w:trHeight w:val="314"/>
          <w:jc w:val="center"/>
        </w:trPr>
        <w:tc>
          <w:tcPr>
            <w:tcW w:w="1308" w:type="dxa"/>
            <w:noWrap/>
            <w:vAlign w:val="center"/>
          </w:tcPr>
          <w:p w:rsidR="00373DFE" w:rsidRPr="005D4196" w:rsidRDefault="00373DFE" w:rsidP="00007B4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5D419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1500</w:t>
            </w:r>
          </w:p>
        </w:tc>
        <w:tc>
          <w:tcPr>
            <w:tcW w:w="1942" w:type="dxa"/>
            <w:noWrap/>
            <w:vAlign w:val="center"/>
          </w:tcPr>
          <w:p w:rsidR="00373DFE" w:rsidRPr="005D4196" w:rsidRDefault="00373DFE" w:rsidP="00007B4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5D419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00.44,1</w:t>
            </w:r>
          </w:p>
        </w:tc>
        <w:tc>
          <w:tcPr>
            <w:tcW w:w="1916" w:type="dxa"/>
            <w:noWrap/>
            <w:vAlign w:val="center"/>
          </w:tcPr>
          <w:p w:rsidR="00373DFE" w:rsidRPr="005D4196" w:rsidRDefault="00373DFE" w:rsidP="00007B4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5D419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00.51,0</w:t>
            </w:r>
          </w:p>
        </w:tc>
      </w:tr>
    </w:tbl>
    <w:p w:rsidR="00373DFE" w:rsidRDefault="00373DFE" w:rsidP="00007B46">
      <w:pPr>
        <w:pStyle w:val="Paragrafoelenco"/>
        <w:jc w:val="both"/>
      </w:pPr>
    </w:p>
    <w:p w:rsidR="00F221DE" w:rsidRPr="00191A92" w:rsidRDefault="00736C3B" w:rsidP="00007B46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</w:rPr>
      </w:pPr>
      <w:r w:rsidRPr="00191A92">
        <w:rPr>
          <w:b/>
        </w:rPr>
        <w:lastRenderedPageBreak/>
        <w:t>Modalità di svolgimento della prova di corsa</w:t>
      </w:r>
    </w:p>
    <w:p w:rsidR="004C5958" w:rsidRPr="00191A92" w:rsidRDefault="00F221DE" w:rsidP="00007B46">
      <w:pPr>
        <w:pStyle w:val="Paragrafoelenco"/>
        <w:numPr>
          <w:ilvl w:val="1"/>
          <w:numId w:val="1"/>
        </w:numPr>
        <w:spacing w:before="360" w:line="360" w:lineRule="auto"/>
        <w:jc w:val="both"/>
        <w:rPr>
          <w:u w:val="single"/>
        </w:rPr>
      </w:pPr>
      <w:r w:rsidRPr="00191A92">
        <w:rPr>
          <w:u w:val="single"/>
        </w:rPr>
        <w:t xml:space="preserve">Utilizzo di scarpe </w:t>
      </w:r>
      <w:r w:rsidR="00476639" w:rsidRPr="00191A92">
        <w:rPr>
          <w:u w:val="single"/>
        </w:rPr>
        <w:t>c</w:t>
      </w:r>
      <w:r w:rsidR="004C5958" w:rsidRPr="00191A92">
        <w:rPr>
          <w:u w:val="single"/>
        </w:rPr>
        <w:t>hiodate</w:t>
      </w:r>
    </w:p>
    <w:p w:rsidR="00476639" w:rsidRDefault="00476639" w:rsidP="00007B46">
      <w:pPr>
        <w:pStyle w:val="Paragrafoelenco"/>
        <w:spacing w:line="360" w:lineRule="auto"/>
        <w:ind w:left="1080"/>
        <w:jc w:val="both"/>
      </w:pPr>
      <w:r>
        <w:t xml:space="preserve">E’ ammesso l’utilizzo di scarpe chiodate nel rispetto del regolamento applicato nelle gare FIDAL </w:t>
      </w:r>
    </w:p>
    <w:p w:rsidR="004C5958" w:rsidRPr="00191A92" w:rsidRDefault="004C5958" w:rsidP="00007B46">
      <w:pPr>
        <w:pStyle w:val="Paragrafoelenco"/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191A92">
        <w:rPr>
          <w:u w:val="single"/>
        </w:rPr>
        <w:t>Presenza di altri atleti</w:t>
      </w:r>
      <w:r w:rsidR="00E52A29" w:rsidRPr="00191A92">
        <w:rPr>
          <w:u w:val="single"/>
        </w:rPr>
        <w:t xml:space="preserve"> estranei  alla prova</w:t>
      </w:r>
    </w:p>
    <w:p w:rsidR="00E52A29" w:rsidRDefault="00E52A29" w:rsidP="00007B46">
      <w:pPr>
        <w:pStyle w:val="Paragrafoelenco"/>
        <w:spacing w:line="360" w:lineRule="auto"/>
        <w:ind w:left="1080"/>
        <w:jc w:val="both"/>
      </w:pPr>
      <w:r>
        <w:t>Non è richiesta la prenotazione esclusiva della pista di atletica ma deve essere evitata la presenza di atleti estranei alla prova tempi in corso che possano favorire o ostacolare gli atleti impegnati nella prova tempi.</w:t>
      </w:r>
    </w:p>
    <w:p w:rsidR="00E52A29" w:rsidRPr="00191A92" w:rsidRDefault="00E52A29" w:rsidP="00007B46">
      <w:pPr>
        <w:pStyle w:val="Paragrafoelenco"/>
        <w:numPr>
          <w:ilvl w:val="1"/>
          <w:numId w:val="1"/>
        </w:numPr>
        <w:spacing w:line="360" w:lineRule="auto"/>
        <w:jc w:val="both"/>
        <w:rPr>
          <w:u w:val="single"/>
        </w:rPr>
      </w:pPr>
      <w:r>
        <w:t xml:space="preserve"> </w:t>
      </w:r>
      <w:r w:rsidRPr="00191A92">
        <w:rPr>
          <w:u w:val="single"/>
        </w:rPr>
        <w:t>Modalità di suddivi</w:t>
      </w:r>
      <w:r w:rsidR="00462987" w:rsidRPr="00191A92">
        <w:rPr>
          <w:u w:val="single"/>
        </w:rPr>
        <w:t>sione delle batterie di partenza</w:t>
      </w:r>
    </w:p>
    <w:p w:rsidR="00E52A29" w:rsidRDefault="00E52A29" w:rsidP="00007B46">
      <w:pPr>
        <w:pStyle w:val="Paragrafoelenco"/>
        <w:spacing w:line="360" w:lineRule="auto"/>
        <w:ind w:left="1080"/>
        <w:jc w:val="both"/>
      </w:pPr>
      <w:r>
        <w:t xml:space="preserve">Le batterie possono essere suddivise per categorie o per tipo di prova. Non si può far partire  </w:t>
      </w:r>
      <w:r w:rsidR="00462987">
        <w:t xml:space="preserve">una </w:t>
      </w:r>
      <w:r>
        <w:t xml:space="preserve">batteria se è in corso un’altra prova. </w:t>
      </w:r>
    </w:p>
    <w:p w:rsidR="00E52A29" w:rsidRPr="00191A92" w:rsidRDefault="00E52A29" w:rsidP="00007B46">
      <w:pPr>
        <w:pStyle w:val="Paragrafoelenco"/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191A92">
        <w:rPr>
          <w:u w:val="single"/>
        </w:rPr>
        <w:t>Suddivisione atleti uomini e donne</w:t>
      </w:r>
    </w:p>
    <w:p w:rsidR="00E52A29" w:rsidRDefault="00E52A29" w:rsidP="00007B46">
      <w:pPr>
        <w:pStyle w:val="Paragrafoelenco"/>
        <w:spacing w:line="360" w:lineRule="auto"/>
        <w:ind w:left="1080"/>
        <w:jc w:val="both"/>
      </w:pPr>
      <w:r>
        <w:t xml:space="preserve">Non è consentita la presenza di atleti uomini e donne contemporaneamente nella stessa prova anche se appartenenti alla stessa categoria. </w:t>
      </w:r>
    </w:p>
    <w:p w:rsidR="00736C3B" w:rsidRPr="00191A92" w:rsidRDefault="00736C3B" w:rsidP="00007B46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</w:rPr>
      </w:pPr>
      <w:r w:rsidRPr="00191A92">
        <w:rPr>
          <w:b/>
        </w:rPr>
        <w:t>Modalità di svolgimento della prova di nuoto</w:t>
      </w:r>
    </w:p>
    <w:p w:rsidR="00113EFC" w:rsidRPr="00191A92" w:rsidRDefault="00113EFC" w:rsidP="00007B46">
      <w:pPr>
        <w:pStyle w:val="Paragrafoelenco"/>
        <w:numPr>
          <w:ilvl w:val="1"/>
          <w:numId w:val="1"/>
        </w:numPr>
        <w:spacing w:before="360" w:line="360" w:lineRule="auto"/>
        <w:ind w:left="1276" w:hanging="425"/>
        <w:jc w:val="both"/>
        <w:rPr>
          <w:u w:val="single"/>
        </w:rPr>
      </w:pPr>
      <w:r w:rsidRPr="00191A92">
        <w:rPr>
          <w:u w:val="single"/>
        </w:rPr>
        <w:t>Utilizzo di costumi non omologati FIN</w:t>
      </w:r>
    </w:p>
    <w:p w:rsidR="00113EFC" w:rsidRDefault="00113EFC" w:rsidP="00007B46">
      <w:pPr>
        <w:pStyle w:val="Paragrafoelenco"/>
        <w:spacing w:line="360" w:lineRule="auto"/>
        <w:ind w:left="1276"/>
        <w:jc w:val="both"/>
      </w:pPr>
      <w:r>
        <w:t xml:space="preserve">Non è consentito l’uso di costumi non ammessi nelle competizioni ufficiali FIN secondo il regolamento di gara FIN in corso al momento della realizzazione della prova. </w:t>
      </w:r>
    </w:p>
    <w:p w:rsidR="00113EFC" w:rsidRDefault="00113EFC" w:rsidP="00007B46">
      <w:pPr>
        <w:pStyle w:val="Paragrafoelenco"/>
        <w:spacing w:line="360" w:lineRule="auto"/>
        <w:ind w:left="1276"/>
        <w:jc w:val="both"/>
      </w:pPr>
      <w:r>
        <w:t>Non è ammesso l’utilizzo della muta in ogni caso.</w:t>
      </w:r>
    </w:p>
    <w:p w:rsidR="00113EFC" w:rsidRPr="00191A92" w:rsidRDefault="00113EFC" w:rsidP="00007B46">
      <w:pPr>
        <w:pStyle w:val="Paragrafoelenco"/>
        <w:numPr>
          <w:ilvl w:val="1"/>
          <w:numId w:val="1"/>
        </w:numPr>
        <w:spacing w:line="360" w:lineRule="auto"/>
        <w:ind w:left="1276" w:hanging="425"/>
        <w:jc w:val="both"/>
        <w:rPr>
          <w:u w:val="single"/>
        </w:rPr>
      </w:pPr>
      <w:r w:rsidRPr="00191A92">
        <w:rPr>
          <w:u w:val="single"/>
        </w:rPr>
        <w:t>Presenza di altri atleti estranei  alla prova</w:t>
      </w:r>
      <w:r w:rsidR="00F97B3F" w:rsidRPr="00191A92">
        <w:rPr>
          <w:u w:val="single"/>
        </w:rPr>
        <w:t xml:space="preserve"> nelle corsie</w:t>
      </w:r>
    </w:p>
    <w:p w:rsidR="00462987" w:rsidRDefault="00F97B3F" w:rsidP="00007B46">
      <w:pPr>
        <w:pStyle w:val="Paragrafoelenco"/>
        <w:spacing w:line="360" w:lineRule="auto"/>
        <w:ind w:left="1276"/>
        <w:jc w:val="both"/>
      </w:pPr>
      <w:r>
        <w:t xml:space="preserve">E’ richiesta la prenotazione esclusiva della corsia per lo svolgimento della prova e in nessun caso è ammessa la presenza di atleti estranei durante lo svolgimento della prova. </w:t>
      </w:r>
    </w:p>
    <w:p w:rsidR="00462987" w:rsidRPr="00191A92" w:rsidRDefault="00462987" w:rsidP="00007B46">
      <w:pPr>
        <w:pStyle w:val="Paragrafoelenco"/>
        <w:numPr>
          <w:ilvl w:val="1"/>
          <w:numId w:val="1"/>
        </w:numPr>
        <w:spacing w:line="360" w:lineRule="auto"/>
        <w:ind w:left="1276" w:hanging="425"/>
        <w:jc w:val="both"/>
        <w:rPr>
          <w:u w:val="single"/>
        </w:rPr>
      </w:pPr>
      <w:r w:rsidRPr="00191A92">
        <w:rPr>
          <w:u w:val="single"/>
        </w:rPr>
        <w:t>Modalità di suddivisione delle batterie di partenza</w:t>
      </w:r>
    </w:p>
    <w:p w:rsidR="00462987" w:rsidRDefault="00462987" w:rsidP="00007B46">
      <w:pPr>
        <w:pStyle w:val="Paragrafoelenco"/>
        <w:spacing w:line="360" w:lineRule="auto"/>
        <w:ind w:left="1276"/>
        <w:jc w:val="both"/>
      </w:pPr>
      <w:r>
        <w:t>Le batterie possono essere suddivise per categorie o per tipo di prova e lo start è unico per tutti gli atleti della batteria.</w:t>
      </w:r>
    </w:p>
    <w:p w:rsidR="00462987" w:rsidRDefault="00462987" w:rsidP="00007B46">
      <w:pPr>
        <w:pStyle w:val="Paragrafoelenco"/>
        <w:spacing w:line="360" w:lineRule="auto"/>
        <w:ind w:left="1276"/>
        <w:jc w:val="both"/>
      </w:pPr>
      <w:r>
        <w:t xml:space="preserve">Non si può far partire  una batteria se è in corso un’altra prova. </w:t>
      </w:r>
    </w:p>
    <w:p w:rsidR="00462987" w:rsidRDefault="00462987" w:rsidP="00007B46">
      <w:pPr>
        <w:pStyle w:val="Paragrafoelenco"/>
        <w:spacing w:line="360" w:lineRule="auto"/>
        <w:ind w:left="1276"/>
        <w:jc w:val="both"/>
      </w:pPr>
      <w:r>
        <w:t>E’ ammesso un solo atleta per corsia.  Nel caso siano presenti più atleti delle corsie disponibili per una determinata prova si realizzeranno più batterie.</w:t>
      </w:r>
    </w:p>
    <w:p w:rsidR="00736C3B" w:rsidRPr="00191A92" w:rsidRDefault="00736C3B" w:rsidP="00007B46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</w:rPr>
      </w:pPr>
      <w:r w:rsidRPr="00191A92">
        <w:rPr>
          <w:b/>
        </w:rPr>
        <w:t>Rilevamento dei</w:t>
      </w:r>
      <w:r w:rsidR="00AC12EB" w:rsidRPr="00191A92">
        <w:rPr>
          <w:b/>
        </w:rPr>
        <w:t xml:space="preserve"> tempi e ufficializzazione della regolarità delle</w:t>
      </w:r>
      <w:r w:rsidRPr="00191A92">
        <w:rPr>
          <w:b/>
        </w:rPr>
        <w:t xml:space="preserve"> prove</w:t>
      </w:r>
    </w:p>
    <w:p w:rsidR="00462987" w:rsidRDefault="00462987" w:rsidP="00007B46">
      <w:pPr>
        <w:pStyle w:val="Paragrafoelenco"/>
        <w:spacing w:before="360" w:line="360" w:lineRule="auto"/>
        <w:jc w:val="both"/>
      </w:pPr>
      <w:r>
        <w:t>Al fine di rendere valida</w:t>
      </w:r>
      <w:r w:rsidR="00191A92">
        <w:t xml:space="preserve"> la sessione di prove tempi devono essere nec</w:t>
      </w:r>
      <w:r w:rsidR="003D6464">
        <w:t>essariamente presenti almeno una</w:t>
      </w:r>
      <w:r>
        <w:t xml:space="preserve"> delle persone sotto indicate:</w:t>
      </w:r>
    </w:p>
    <w:p w:rsidR="00462987" w:rsidRDefault="00462987" w:rsidP="00007B46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responsabile SAS </w:t>
      </w:r>
    </w:p>
    <w:p w:rsidR="00462987" w:rsidRDefault="00462987" w:rsidP="00007B46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responsabile SAS giovani</w:t>
      </w:r>
    </w:p>
    <w:p w:rsidR="00191A92" w:rsidRDefault="00462987" w:rsidP="00007B46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tecnico federale individuato dal responsabile SAS o dal Responsabile SAS giovani e incaricato di </w:t>
      </w:r>
      <w:r w:rsidR="00373DFE">
        <w:t xml:space="preserve"> </w:t>
      </w:r>
      <w:r w:rsidR="00191A92">
        <w:t xml:space="preserve">assicurare la </w:t>
      </w:r>
      <w:r w:rsidR="00373DFE">
        <w:t>regolarità della prova</w:t>
      </w:r>
    </w:p>
    <w:p w:rsidR="00191A92" w:rsidRPr="003D6464" w:rsidRDefault="00191A92" w:rsidP="00007B46">
      <w:pPr>
        <w:pStyle w:val="Paragrafoelenco"/>
        <w:spacing w:line="360" w:lineRule="auto"/>
        <w:ind w:left="709"/>
        <w:jc w:val="both"/>
        <w:rPr>
          <w:b/>
          <w:u w:val="single"/>
        </w:rPr>
      </w:pPr>
      <w:r>
        <w:lastRenderedPageBreak/>
        <w:t xml:space="preserve">Il rilevamento dei tempi deve essere eseguito prevedendo almeno un cronometraggio per atleta e facendo partire i cronometri contemporaneamente allo start.  Le persone sopra indicate e incaricate di assicurare la validità della prova incaricheranno sotto la loro responsabilità uno o più tecnici per la assistenza al </w:t>
      </w:r>
      <w:r w:rsidRPr="003D6464">
        <w:t>cronometraggio.  Al fine di evitare la perdi</w:t>
      </w:r>
      <w:r w:rsidR="003D6464">
        <w:t>ta di rilevamenti cronometrici e</w:t>
      </w:r>
      <w:r w:rsidRPr="003D6464">
        <w:t xml:space="preserve"> per l’uso  in caso di controve</w:t>
      </w:r>
      <w:r w:rsidR="003D6464">
        <w:t>rsie verrà adottato dove possibile</w:t>
      </w:r>
      <w:r w:rsidRPr="003D6464">
        <w:t xml:space="preserve"> l’utilizzo di una telecamera fissa sulle posizioni di partenza e arrivo.</w:t>
      </w:r>
      <w:r w:rsidRPr="003D6464">
        <w:rPr>
          <w:b/>
          <w:u w:val="single"/>
        </w:rPr>
        <w:t xml:space="preserve"> </w:t>
      </w:r>
    </w:p>
    <w:p w:rsidR="00736C3B" w:rsidRPr="005D4196" w:rsidRDefault="00736C3B" w:rsidP="00007B46">
      <w:pPr>
        <w:pStyle w:val="Nessunaspaziatura"/>
        <w:spacing w:line="360" w:lineRule="auto"/>
        <w:jc w:val="both"/>
      </w:pPr>
    </w:p>
    <w:p w:rsidR="00736C3B" w:rsidRDefault="00736C3B" w:rsidP="00007B46">
      <w:pPr>
        <w:jc w:val="both"/>
      </w:pPr>
    </w:p>
    <w:sectPr w:rsidR="00736C3B" w:rsidSect="00AE46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E61"/>
    <w:multiLevelType w:val="multilevel"/>
    <w:tmpl w:val="1EC0F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4F5A74D1"/>
    <w:multiLevelType w:val="hybridMultilevel"/>
    <w:tmpl w:val="C88048B6"/>
    <w:lvl w:ilvl="0" w:tplc="4094F54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736C3B"/>
    <w:rsid w:val="00007B46"/>
    <w:rsid w:val="000A0ACC"/>
    <w:rsid w:val="00113EFC"/>
    <w:rsid w:val="00191A92"/>
    <w:rsid w:val="00292EB9"/>
    <w:rsid w:val="00373DFE"/>
    <w:rsid w:val="003D6464"/>
    <w:rsid w:val="00462987"/>
    <w:rsid w:val="0047154E"/>
    <w:rsid w:val="00476639"/>
    <w:rsid w:val="004C5958"/>
    <w:rsid w:val="004F1163"/>
    <w:rsid w:val="005052E8"/>
    <w:rsid w:val="005522B8"/>
    <w:rsid w:val="00736C3B"/>
    <w:rsid w:val="007A7641"/>
    <w:rsid w:val="009045CB"/>
    <w:rsid w:val="00AC12EB"/>
    <w:rsid w:val="00AE465C"/>
    <w:rsid w:val="00BB2D97"/>
    <w:rsid w:val="00BE186B"/>
    <w:rsid w:val="00C05D70"/>
    <w:rsid w:val="00C121A7"/>
    <w:rsid w:val="00CC1207"/>
    <w:rsid w:val="00E52A29"/>
    <w:rsid w:val="00EE3717"/>
    <w:rsid w:val="00F221DE"/>
    <w:rsid w:val="00F9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65C"/>
    <w:pPr>
      <w:spacing w:before="240" w:after="200" w:line="276" w:lineRule="auto"/>
    </w:pPr>
    <w:rPr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">
    <w:name w:val="Stile1"/>
    <w:basedOn w:val="Tabellanormale"/>
    <w:uiPriority w:val="99"/>
    <w:qFormat/>
    <w:rsid w:val="00C05D70"/>
    <w:pPr>
      <w:jc w:val="center"/>
    </w:pPr>
    <w:rPr>
      <w:rFonts w:eastAsia="Times New Roman"/>
      <w:lang w:eastAsia="it-IT"/>
    </w:rPr>
    <w:tblPr>
      <w:tblInd w:w="0" w:type="dxa"/>
      <w:tblBorders>
        <w:top w:val="single" w:sz="4" w:space="0" w:color="C6D9F1"/>
        <w:left w:val="single" w:sz="4" w:space="0" w:color="C6D9F1"/>
        <w:bottom w:val="single" w:sz="4" w:space="0" w:color="C6D9F1"/>
        <w:right w:val="single" w:sz="4" w:space="0" w:color="C6D9F1"/>
        <w:insideH w:val="single" w:sz="4" w:space="0" w:color="C6D9F1"/>
        <w:insideV w:val="single" w:sz="4" w:space="0" w:color="C6D9F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B3E2"/>
      <w:vAlign w:val="center"/>
    </w:tcPr>
    <w:tblStylePr w:type="firstRow">
      <w:tblPr/>
      <w:tcPr>
        <w:shd w:val="clear" w:color="auto" w:fill="17365D"/>
      </w:tcPr>
    </w:tblStylePr>
    <w:tblStylePr w:type="firstCol">
      <w:tblPr/>
      <w:tcPr>
        <w:shd w:val="clear" w:color="auto" w:fill="17365D"/>
      </w:tcPr>
    </w:tblStylePr>
  </w:style>
  <w:style w:type="paragraph" w:styleId="Nessunaspaziatura">
    <w:name w:val="No Spacing"/>
    <w:uiPriority w:val="1"/>
    <w:qFormat/>
    <w:rsid w:val="00736C3B"/>
    <w:pPr>
      <w:spacing w:before="240"/>
    </w:pPr>
    <w:rPr>
      <w:sz w:val="22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736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3</cp:revision>
  <dcterms:created xsi:type="dcterms:W3CDTF">2013-07-14T17:11:00Z</dcterms:created>
  <dcterms:modified xsi:type="dcterms:W3CDTF">2013-07-14T17:21:00Z</dcterms:modified>
</cp:coreProperties>
</file>